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D58" w:rsidRDefault="00851D58" w:rsidP="00851D58">
      <w:pPr>
        <w:spacing w:line="480" w:lineRule="auto"/>
        <w:jc w:val="center"/>
        <w:rPr>
          <w:rFonts w:ascii="Times New Roman" w:hAnsi="Times New Roman" w:cs="Times New Roman"/>
          <w:sz w:val="24"/>
          <w:szCs w:val="24"/>
        </w:rPr>
      </w:pPr>
    </w:p>
    <w:p w:rsidR="00851D58" w:rsidRDefault="00851D58" w:rsidP="00851D58">
      <w:pPr>
        <w:spacing w:line="480" w:lineRule="auto"/>
        <w:jc w:val="center"/>
        <w:rPr>
          <w:rFonts w:ascii="Times New Roman" w:hAnsi="Times New Roman" w:cs="Times New Roman"/>
          <w:sz w:val="24"/>
          <w:szCs w:val="24"/>
        </w:rPr>
      </w:pPr>
    </w:p>
    <w:p w:rsidR="001552C4" w:rsidRDefault="001552C4" w:rsidP="00851D58">
      <w:pPr>
        <w:spacing w:line="480" w:lineRule="auto"/>
        <w:jc w:val="center"/>
        <w:rPr>
          <w:rFonts w:ascii="Times New Roman" w:hAnsi="Times New Roman" w:cs="Times New Roman"/>
          <w:sz w:val="24"/>
          <w:szCs w:val="24"/>
        </w:rPr>
      </w:pPr>
    </w:p>
    <w:p w:rsidR="001552C4" w:rsidRDefault="001552C4" w:rsidP="00851D58">
      <w:pPr>
        <w:spacing w:line="480" w:lineRule="auto"/>
        <w:jc w:val="center"/>
        <w:rPr>
          <w:rFonts w:ascii="Times New Roman" w:hAnsi="Times New Roman" w:cs="Times New Roman"/>
          <w:sz w:val="24"/>
          <w:szCs w:val="24"/>
        </w:rPr>
      </w:pPr>
    </w:p>
    <w:p w:rsidR="001552C4" w:rsidRDefault="001552C4" w:rsidP="00851D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552C4" w:rsidRDefault="001552C4" w:rsidP="00851D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552C4" w:rsidRDefault="001552C4" w:rsidP="00851D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1D58" w:rsidRDefault="00851D58" w:rsidP="00851D58">
      <w:pPr>
        <w:spacing w:line="480" w:lineRule="auto"/>
        <w:jc w:val="center"/>
        <w:rPr>
          <w:rFonts w:ascii="Times New Roman" w:hAnsi="Times New Roman" w:cs="Times New Roman"/>
          <w:sz w:val="24"/>
          <w:szCs w:val="24"/>
        </w:rPr>
      </w:pPr>
      <w:r>
        <w:rPr>
          <w:rFonts w:ascii="Times New Roman" w:hAnsi="Times New Roman" w:cs="Times New Roman"/>
          <w:sz w:val="24"/>
          <w:szCs w:val="24"/>
        </w:rPr>
        <w:t>Folder Forum 2: Citizens United vs. Federal Election Commission</w:t>
      </w:r>
    </w:p>
    <w:p w:rsidR="00851D58" w:rsidRDefault="00851D58" w:rsidP="00851D58">
      <w:pPr>
        <w:spacing w:line="480" w:lineRule="auto"/>
        <w:jc w:val="center"/>
        <w:rPr>
          <w:rFonts w:ascii="Times New Roman" w:hAnsi="Times New Roman" w:cs="Times New Roman"/>
          <w:sz w:val="24"/>
          <w:szCs w:val="24"/>
        </w:rPr>
      </w:pPr>
    </w:p>
    <w:p w:rsidR="00851D58" w:rsidRDefault="00851D58">
      <w:pPr>
        <w:rPr>
          <w:rFonts w:ascii="Times New Roman" w:hAnsi="Times New Roman" w:cs="Times New Roman"/>
          <w:sz w:val="24"/>
          <w:szCs w:val="24"/>
        </w:rPr>
      </w:pPr>
      <w:r>
        <w:rPr>
          <w:rFonts w:ascii="Times New Roman" w:hAnsi="Times New Roman" w:cs="Times New Roman"/>
          <w:sz w:val="24"/>
          <w:szCs w:val="24"/>
        </w:rPr>
        <w:br w:type="page"/>
      </w:r>
    </w:p>
    <w:p w:rsidR="001552C4" w:rsidRPr="001552C4" w:rsidRDefault="001552C4" w:rsidP="001552C4">
      <w:pPr>
        <w:spacing w:line="480" w:lineRule="auto"/>
        <w:ind w:firstLine="720"/>
        <w:rPr>
          <w:rFonts w:ascii="Times New Roman" w:hAnsi="Times New Roman" w:cs="Times New Roman"/>
          <w:sz w:val="24"/>
          <w:szCs w:val="24"/>
        </w:rPr>
      </w:pPr>
      <w:r w:rsidRPr="001552C4">
        <w:rPr>
          <w:rFonts w:ascii="Times New Roman" w:hAnsi="Times New Roman" w:cs="Times New Roman"/>
          <w:sz w:val="24"/>
          <w:szCs w:val="24"/>
        </w:rPr>
        <w:lastRenderedPageBreak/>
        <w:t>I dissent with the decision of the United States Supreme court on the Citizen United V. Federal Election Commission upon which the court invalidated the 2002 Federal Bipartisan Campaign Reform Act; also known as the McCain Feingold Act as it was sponsored by Senator John McCain and Senator Russ Feingold. The reason for my dissent is that the democracy will be corrupted when the corporate money is allowed to flood the political marketplace. The Federal Election Campaign of 1971 Section 441 (b) which had been amended by the Bipartisan Campaign Reform Act was also invalidated by this ruling. This decision still overturned either partly or wholly the Supreme Court rulings such as the Austin v. Michigan Chamber of Commerce(1990) and McConnell V. Federal Election Commission (2003) which had been determined previously. “This Supreme Court decision as much as it was hailed by many as a major win for the freedom of speech, it was an attempt that was overreaching in terms of rewriting finance law pertaining to campaigns.” (</w:t>
      </w:r>
      <w:proofErr w:type="spellStart"/>
      <w:r w:rsidRPr="001552C4">
        <w:rPr>
          <w:rFonts w:ascii="Times New Roman" w:hAnsi="Times New Roman" w:cs="Times New Roman"/>
          <w:sz w:val="24"/>
          <w:szCs w:val="24"/>
        </w:rPr>
        <w:t>Torchinsky</w:t>
      </w:r>
      <w:proofErr w:type="spellEnd"/>
      <w:r w:rsidRPr="001552C4">
        <w:rPr>
          <w:rFonts w:ascii="Times New Roman" w:hAnsi="Times New Roman" w:cs="Times New Roman"/>
          <w:sz w:val="24"/>
          <w:szCs w:val="24"/>
        </w:rPr>
        <w:t xml:space="preserve"> &amp; Reese, 2016)</w:t>
      </w:r>
    </w:p>
    <w:p w:rsidR="00851D58" w:rsidRDefault="001552C4" w:rsidP="001552C4">
      <w:pPr>
        <w:spacing w:line="480" w:lineRule="auto"/>
        <w:ind w:firstLine="720"/>
        <w:rPr>
          <w:rFonts w:ascii="Times New Roman" w:hAnsi="Times New Roman" w:cs="Times New Roman"/>
          <w:sz w:val="24"/>
          <w:szCs w:val="24"/>
        </w:rPr>
      </w:pPr>
      <w:r w:rsidRPr="001552C4">
        <w:rPr>
          <w:rFonts w:ascii="Times New Roman" w:hAnsi="Times New Roman" w:cs="Times New Roman"/>
          <w:sz w:val="24"/>
          <w:szCs w:val="24"/>
        </w:rPr>
        <w:t xml:space="preserve">This Supreme Court decision was an avenue for opening floodgates for special interests and was to ensure that there was spending in election campaigns without limits. The Bipartisan Campaign Reform Act of 2002 described “Electioneering Communications” as communication through any medium involving satellite that would refer to a candidate who is identified clearly for a public office. The candidature has to be announced 60 days prior to a general election or 30 days prior to primary elections. Section 441(b) of FECA and Section 203 of BCRA did not prevent corporations in engaging in this kind of communications or expressing advocacy by PACs means but Austin v. Michigan ruled that the government could prevent corporations from using general funds for political expenditures that are independent so as to prevent corporations from changing the political process and reducing corruption and its appearance. The Supreme </w:t>
      </w:r>
      <w:r w:rsidRPr="001552C4">
        <w:rPr>
          <w:rFonts w:ascii="Times New Roman" w:hAnsi="Times New Roman" w:cs="Times New Roman"/>
          <w:sz w:val="24"/>
          <w:szCs w:val="24"/>
        </w:rPr>
        <w:lastRenderedPageBreak/>
        <w:t>Court decision on Citizen United v. Federal Election Commission increased the likelihood for appearance and thriving of corruption in the political process (</w:t>
      </w:r>
      <w:proofErr w:type="spellStart"/>
      <w:r w:rsidRPr="001552C4">
        <w:rPr>
          <w:rFonts w:ascii="Times New Roman" w:hAnsi="Times New Roman" w:cs="Times New Roman"/>
          <w:sz w:val="24"/>
          <w:szCs w:val="24"/>
        </w:rPr>
        <w:t>Torchinsky</w:t>
      </w:r>
      <w:proofErr w:type="spellEnd"/>
      <w:r w:rsidRPr="001552C4">
        <w:rPr>
          <w:rFonts w:ascii="Times New Roman" w:hAnsi="Times New Roman" w:cs="Times New Roman"/>
          <w:sz w:val="24"/>
          <w:szCs w:val="24"/>
        </w:rPr>
        <w:t xml:space="preserve"> &amp; Reese, 2016)</w:t>
      </w:r>
      <w:bookmarkStart w:id="0" w:name="_GoBack"/>
      <w:bookmarkEnd w:id="0"/>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61568B" w:rsidRDefault="0061568B" w:rsidP="00851D58">
      <w:pPr>
        <w:spacing w:line="480" w:lineRule="auto"/>
        <w:ind w:firstLine="720"/>
        <w:rPr>
          <w:rFonts w:ascii="Times New Roman" w:hAnsi="Times New Roman" w:cs="Times New Roman"/>
          <w:sz w:val="24"/>
          <w:szCs w:val="24"/>
        </w:rPr>
      </w:pPr>
    </w:p>
    <w:p w:rsidR="00851D58" w:rsidRDefault="00851D58" w:rsidP="006156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1D58" w:rsidRPr="00851D58" w:rsidRDefault="00851D58" w:rsidP="0061568B">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Torchinsky</w:t>
      </w:r>
      <w:proofErr w:type="spellEnd"/>
      <w:r>
        <w:rPr>
          <w:rFonts w:ascii="Times New Roman" w:hAnsi="Times New Roman" w:cs="Times New Roman"/>
          <w:sz w:val="24"/>
          <w:szCs w:val="24"/>
        </w:rPr>
        <w:t>, J., &amp; Reese, E. (2016). State legislative responses to citizens united: Five years later. Syracuse L. Rev., 66, 273.</w:t>
      </w:r>
    </w:p>
    <w:sectPr w:rsidR="00851D58" w:rsidRPr="00851D58" w:rsidSect="00851D58">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0BF" w:rsidRDefault="00F240BF" w:rsidP="00851D58">
      <w:pPr>
        <w:spacing w:after="0" w:line="240" w:lineRule="auto"/>
      </w:pPr>
      <w:r>
        <w:separator/>
      </w:r>
    </w:p>
  </w:endnote>
  <w:endnote w:type="continuationSeparator" w:id="0">
    <w:p w:rsidR="00F240BF" w:rsidRDefault="00F240BF" w:rsidP="0085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D58" w:rsidRDefault="00851D58" w:rsidP="00851D5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0BF" w:rsidRDefault="00F240BF" w:rsidP="00851D58">
      <w:pPr>
        <w:spacing w:after="0" w:line="240" w:lineRule="auto"/>
      </w:pPr>
      <w:r>
        <w:separator/>
      </w:r>
    </w:p>
  </w:footnote>
  <w:footnote w:type="continuationSeparator" w:id="0">
    <w:p w:rsidR="00F240BF" w:rsidRDefault="00F240BF" w:rsidP="00851D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4704588"/>
      <w:docPartObj>
        <w:docPartGallery w:val="Page Numbers (Top of Page)"/>
        <w:docPartUnique/>
      </w:docPartObj>
    </w:sdtPr>
    <w:sdtEndPr>
      <w:rPr>
        <w:noProof/>
      </w:rPr>
    </w:sdtEndPr>
    <w:sdtContent>
      <w:p w:rsidR="00851D58" w:rsidRPr="001552C4" w:rsidRDefault="00851D58">
        <w:pPr>
          <w:pStyle w:val="Header"/>
          <w:jc w:val="right"/>
          <w:rPr>
            <w:rFonts w:ascii="Times New Roman" w:hAnsi="Times New Roman" w:cs="Times New Roman"/>
            <w:sz w:val="24"/>
            <w:szCs w:val="24"/>
          </w:rPr>
        </w:pPr>
        <w:r w:rsidRPr="001552C4">
          <w:rPr>
            <w:rFonts w:ascii="Times New Roman" w:hAnsi="Times New Roman" w:cs="Times New Roman"/>
            <w:sz w:val="24"/>
            <w:szCs w:val="24"/>
          </w:rPr>
          <w:t>FOLDER FORUM 2</w:t>
        </w:r>
        <w:r w:rsidRPr="001552C4">
          <w:rPr>
            <w:rFonts w:ascii="Times New Roman" w:hAnsi="Times New Roman" w:cs="Times New Roman"/>
            <w:sz w:val="24"/>
            <w:szCs w:val="24"/>
          </w:rPr>
          <w:tab/>
        </w:r>
        <w:r w:rsidRPr="001552C4">
          <w:rPr>
            <w:rFonts w:ascii="Times New Roman" w:hAnsi="Times New Roman" w:cs="Times New Roman"/>
            <w:sz w:val="24"/>
            <w:szCs w:val="24"/>
          </w:rPr>
          <w:tab/>
        </w:r>
        <w:r w:rsidRPr="001552C4">
          <w:rPr>
            <w:rFonts w:ascii="Times New Roman" w:hAnsi="Times New Roman" w:cs="Times New Roman"/>
            <w:sz w:val="24"/>
            <w:szCs w:val="24"/>
          </w:rPr>
          <w:fldChar w:fldCharType="begin"/>
        </w:r>
        <w:r w:rsidRPr="001552C4">
          <w:rPr>
            <w:rFonts w:ascii="Times New Roman" w:hAnsi="Times New Roman" w:cs="Times New Roman"/>
            <w:sz w:val="24"/>
            <w:szCs w:val="24"/>
          </w:rPr>
          <w:instrText xml:space="preserve"> PAGE   \* MERGEFORMAT </w:instrText>
        </w:r>
        <w:r w:rsidRPr="001552C4">
          <w:rPr>
            <w:rFonts w:ascii="Times New Roman" w:hAnsi="Times New Roman" w:cs="Times New Roman"/>
            <w:sz w:val="24"/>
            <w:szCs w:val="24"/>
          </w:rPr>
          <w:fldChar w:fldCharType="separate"/>
        </w:r>
        <w:r w:rsidR="001552C4">
          <w:rPr>
            <w:rFonts w:ascii="Times New Roman" w:hAnsi="Times New Roman" w:cs="Times New Roman"/>
            <w:noProof/>
            <w:sz w:val="24"/>
            <w:szCs w:val="24"/>
          </w:rPr>
          <w:t>4</w:t>
        </w:r>
        <w:r w:rsidRPr="001552C4">
          <w:rPr>
            <w:rFonts w:ascii="Times New Roman" w:hAnsi="Times New Roman" w:cs="Times New Roman"/>
            <w:noProof/>
            <w:sz w:val="24"/>
            <w:szCs w:val="24"/>
          </w:rPr>
          <w:fldChar w:fldCharType="end"/>
        </w:r>
      </w:p>
    </w:sdtContent>
  </w:sdt>
  <w:p w:rsidR="00851D58" w:rsidRDefault="00851D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D58" w:rsidRPr="001552C4" w:rsidRDefault="00851D58">
    <w:pPr>
      <w:pStyle w:val="Header"/>
      <w:jc w:val="right"/>
      <w:rPr>
        <w:rFonts w:ascii="Times New Roman" w:hAnsi="Times New Roman" w:cs="Times New Roman"/>
        <w:sz w:val="24"/>
        <w:szCs w:val="24"/>
      </w:rPr>
    </w:pPr>
    <w:r w:rsidRPr="001552C4">
      <w:rPr>
        <w:rFonts w:ascii="Times New Roman" w:hAnsi="Times New Roman" w:cs="Times New Roman"/>
        <w:sz w:val="24"/>
        <w:szCs w:val="24"/>
      </w:rPr>
      <w:t>Running Head: FOLDER FORUM 2</w:t>
    </w:r>
    <w:r w:rsidRPr="001552C4">
      <w:rPr>
        <w:rFonts w:ascii="Times New Roman" w:hAnsi="Times New Roman" w:cs="Times New Roman"/>
        <w:sz w:val="24"/>
        <w:szCs w:val="24"/>
      </w:rPr>
      <w:tab/>
    </w:r>
    <w:r w:rsidRPr="001552C4">
      <w:rPr>
        <w:rFonts w:ascii="Times New Roman" w:hAnsi="Times New Roman" w:cs="Times New Roman"/>
        <w:sz w:val="24"/>
        <w:szCs w:val="24"/>
      </w:rPr>
      <w:tab/>
    </w:r>
    <w:sdt>
      <w:sdtPr>
        <w:rPr>
          <w:rFonts w:ascii="Times New Roman" w:hAnsi="Times New Roman" w:cs="Times New Roman"/>
          <w:sz w:val="24"/>
          <w:szCs w:val="24"/>
        </w:rPr>
        <w:id w:val="-1164005175"/>
        <w:docPartObj>
          <w:docPartGallery w:val="Page Numbers (Top of Page)"/>
          <w:docPartUnique/>
        </w:docPartObj>
      </w:sdtPr>
      <w:sdtEndPr>
        <w:rPr>
          <w:noProof/>
        </w:rPr>
      </w:sdtEndPr>
      <w:sdtContent>
        <w:r w:rsidRPr="001552C4">
          <w:rPr>
            <w:rFonts w:ascii="Times New Roman" w:hAnsi="Times New Roman" w:cs="Times New Roman"/>
            <w:sz w:val="24"/>
            <w:szCs w:val="24"/>
          </w:rPr>
          <w:fldChar w:fldCharType="begin"/>
        </w:r>
        <w:r w:rsidRPr="001552C4">
          <w:rPr>
            <w:rFonts w:ascii="Times New Roman" w:hAnsi="Times New Roman" w:cs="Times New Roman"/>
            <w:sz w:val="24"/>
            <w:szCs w:val="24"/>
          </w:rPr>
          <w:instrText xml:space="preserve"> PAGE   \* MERGEFORMAT </w:instrText>
        </w:r>
        <w:r w:rsidRPr="001552C4">
          <w:rPr>
            <w:rFonts w:ascii="Times New Roman" w:hAnsi="Times New Roman" w:cs="Times New Roman"/>
            <w:sz w:val="24"/>
            <w:szCs w:val="24"/>
          </w:rPr>
          <w:fldChar w:fldCharType="separate"/>
        </w:r>
        <w:r w:rsidR="001552C4">
          <w:rPr>
            <w:rFonts w:ascii="Times New Roman" w:hAnsi="Times New Roman" w:cs="Times New Roman"/>
            <w:noProof/>
            <w:sz w:val="24"/>
            <w:szCs w:val="24"/>
          </w:rPr>
          <w:t>1</w:t>
        </w:r>
        <w:r w:rsidRPr="001552C4">
          <w:rPr>
            <w:rFonts w:ascii="Times New Roman" w:hAnsi="Times New Roman" w:cs="Times New Roman"/>
            <w:noProof/>
            <w:sz w:val="24"/>
            <w:szCs w:val="24"/>
          </w:rPr>
          <w:fldChar w:fldCharType="end"/>
        </w:r>
      </w:sdtContent>
    </w:sdt>
  </w:p>
  <w:p w:rsidR="00851D58" w:rsidRDefault="00851D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CC"/>
    <w:rsid w:val="001552C4"/>
    <w:rsid w:val="00164656"/>
    <w:rsid w:val="002952F0"/>
    <w:rsid w:val="002B31B3"/>
    <w:rsid w:val="002F00E0"/>
    <w:rsid w:val="0033408B"/>
    <w:rsid w:val="003772B7"/>
    <w:rsid w:val="0061568B"/>
    <w:rsid w:val="00685262"/>
    <w:rsid w:val="007A7AA1"/>
    <w:rsid w:val="007C5CCC"/>
    <w:rsid w:val="008277FD"/>
    <w:rsid w:val="00837080"/>
    <w:rsid w:val="00851D58"/>
    <w:rsid w:val="00927136"/>
    <w:rsid w:val="009272CF"/>
    <w:rsid w:val="0099712A"/>
    <w:rsid w:val="00B251DA"/>
    <w:rsid w:val="00B72A21"/>
    <w:rsid w:val="00C13396"/>
    <w:rsid w:val="00C77E3D"/>
    <w:rsid w:val="00D31E71"/>
    <w:rsid w:val="00D962C9"/>
    <w:rsid w:val="00DD722F"/>
    <w:rsid w:val="00E6779A"/>
    <w:rsid w:val="00EA43B8"/>
    <w:rsid w:val="00F03660"/>
    <w:rsid w:val="00F2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BC1CF-C1A6-41AD-A5BD-F97BF5E2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D58"/>
  </w:style>
  <w:style w:type="paragraph" w:styleId="Footer">
    <w:name w:val="footer"/>
    <w:basedOn w:val="Normal"/>
    <w:link w:val="FooterChar"/>
    <w:uiPriority w:val="99"/>
    <w:unhideWhenUsed/>
    <w:rsid w:val="0085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2019-01-28T20:11:00Z</dcterms:created>
  <dcterms:modified xsi:type="dcterms:W3CDTF">2019-01-28T20:11:00Z</dcterms:modified>
</cp:coreProperties>
</file>